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120"/>
        <w:jc w:val="center"/>
      </w:pPr>
      <w:r>
        <w:rPr>
          <w:rFonts w:ascii="Arial" w:cs="Arial" w:eastAsia="Arial" w:hAnsi="Arial"/>
          <w:b/>
          <w:bCs/>
          <w:sz w:val="26"/>
          <w:szCs w:val="26"/>
        </w:rPr>
        <w:t xml:space="preserve">HOUSING FAIR CHANCE NOTICE</w:t>
      </w:r>
    </w:p>
    <w:p>
      <w:pPr>
        <w:spacing w:before="0" w:after="200"/>
        <w:jc w:val="center"/>
      </w:pPr>
      <w:r>
        <w:rPr>
          <w:rFonts w:ascii="Arial" w:cs="Arial" w:eastAsia="Arial" w:hAnsi="Arial"/>
          <w:b/>
          <w:bCs/>
          <w:sz w:val="20"/>
          <w:szCs w:val="20"/>
        </w:rPr>
        <w:t xml:space="preserve">New York City Fair Chance Act — Tenant Screening (N.Y.C. Admin. Code § 8-107(5)(a)(1))</w:t>
      </w:r>
    </w:p>
    <w:p>
      <w:pPr>
        <w:spacing w:before="200" w:after="80"/>
      </w:pPr>
      <w:r>
        <w:rPr>
          <w:rFonts w:ascii="Arial" w:cs="Arial" w:eastAsia="Arial" w:hAnsi="Arial"/>
          <w:b/>
          <w:bCs/>
          <w:sz w:val="22"/>
          <w:szCs w:val="22"/>
        </w:rPr>
        <w:t xml:space="preserve">Notice to Rental Applicant</w:t>
      </w:r>
    </w:p>
    <w:p>
      <w:pPr>
        <w:spacing w:before="60" w:after="60" w:line="300" w:lineRule="auto"/>
        <w:jc w:val="both"/>
      </w:pPr>
      <w:r>
        <w:rPr>
          <w:rFonts w:ascii="Arial" w:cs="Arial" w:eastAsia="Arial" w:hAnsi="Arial"/>
          <w:sz w:val="22"/>
          <w:szCs w:val="22"/>
        </w:rPr>
        <w:t xml:space="preserve">The housing provider identified below is subject to the New York City Human Rights Law, which restricts the use of criminal history in rental housing decisions. This notice describes your rights before any adverse housing action is taken based on your criminal history.</w:t>
      </w:r>
    </w:p>
    <w:p>
      <w:pPr>
        <w:spacing w:before="0" w:after="0" w:line="160" w:lineRule="exact"/>
      </w:pPr>
      <w:r>
        <w:t xml:space="preserve"/>
      </w:r>
    </w:p>
    <w:p>
      <w:pPr>
        <w:spacing w:before="200" w:after="80"/>
      </w:pPr>
      <w:r>
        <w:rPr>
          <w:rFonts w:ascii="Arial" w:cs="Arial" w:eastAsia="Arial" w:hAnsi="Arial"/>
          <w:b/>
          <w:bCs/>
          <w:sz w:val="22"/>
          <w:szCs w:val="22"/>
        </w:rPr>
        <w:t xml:space="preserve">Restrictions on Use of Criminal History in Housing</w:t>
      </w:r>
    </w:p>
    <w:p>
      <w:pPr>
        <w:pStyle w:val="ListParagraph"/>
        <w:numPr>
          <w:ilvl w:val="0"/>
          <w:numId w:val="2"/>
        </w:numPr>
        <w:spacing w:before="60" w:after="60"/>
      </w:pPr>
      <w:r>
        <w:rPr>
          <w:rFonts w:ascii="Arial" w:cs="Arial" w:eastAsia="Arial" w:hAnsi="Arial"/>
          <w:sz w:val="22"/>
          <w:szCs w:val="22"/>
        </w:rPr>
        <w:t xml:space="preserve">A housing provider may not inquire about or take adverse action based on an arrest that did not result in a conviction.</w:t>
      </w:r>
    </w:p>
    <w:p>
      <w:pPr>
        <w:pStyle w:val="ListParagraph"/>
        <w:numPr>
          <w:ilvl w:val="0"/>
          <w:numId w:val="2"/>
        </w:numPr>
        <w:spacing w:before="60" w:after="60"/>
      </w:pPr>
      <w:r>
        <w:rPr>
          <w:rFonts w:ascii="Arial" w:cs="Arial" w:eastAsia="Arial" w:hAnsi="Arial"/>
          <w:sz w:val="22"/>
          <w:szCs w:val="22"/>
        </w:rPr>
        <w:t xml:space="preserve">A housing provider may not take adverse action based on a sealed or expunged criminal record.</w:t>
      </w:r>
    </w:p>
    <w:p>
      <w:pPr>
        <w:pStyle w:val="ListParagraph"/>
        <w:numPr>
          <w:ilvl w:val="0"/>
          <w:numId w:val="2"/>
        </w:numPr>
        <w:spacing w:before="60" w:after="60"/>
      </w:pPr>
      <w:r>
        <w:rPr>
          <w:rFonts w:ascii="Arial" w:cs="Arial" w:eastAsia="Arial" w:hAnsi="Arial"/>
          <w:sz w:val="22"/>
          <w:szCs w:val="22"/>
        </w:rPr>
        <w:t xml:space="preserve">Before taking adverse action based on a conviction, the housing provider must conduct an individualized assessment considering the factors listed below.</w:t>
      </w:r>
    </w:p>
    <w:p>
      <w:pPr>
        <w:spacing w:before="0" w:after="0" w:line="160" w:lineRule="exact"/>
      </w:pPr>
      <w:r>
        <w:t xml:space="preserve"/>
      </w:r>
    </w:p>
    <w:p>
      <w:pPr>
        <w:spacing w:before="200" w:after="80"/>
      </w:pPr>
      <w:r>
        <w:rPr>
          <w:rFonts w:ascii="Arial" w:cs="Arial" w:eastAsia="Arial" w:hAnsi="Arial"/>
          <w:b/>
          <w:bCs/>
          <w:sz w:val="22"/>
          <w:szCs w:val="22"/>
        </w:rPr>
        <w:t xml:space="preserve">Individualized Assessment Factors</w:t>
      </w:r>
    </w:p>
    <w:p>
      <w:pPr>
        <w:pStyle w:val="ListParagraph"/>
        <w:numPr>
          <w:ilvl w:val="0"/>
          <w:numId w:val="2"/>
        </w:numPr>
        <w:spacing w:before="60" w:after="60"/>
      </w:pPr>
      <w:r>
        <w:rPr>
          <w:rFonts w:ascii="Arial" w:cs="Arial" w:eastAsia="Arial" w:hAnsi="Arial"/>
          <w:sz w:val="22"/>
          <w:szCs w:val="22"/>
        </w:rPr>
        <w:t xml:space="preserve">The nature and gravity of the criminal offense</w:t>
      </w:r>
    </w:p>
    <w:p>
      <w:pPr>
        <w:pStyle w:val="ListParagraph"/>
        <w:numPr>
          <w:ilvl w:val="0"/>
          <w:numId w:val="2"/>
        </w:numPr>
        <w:spacing w:before="60" w:after="60"/>
      </w:pPr>
      <w:r>
        <w:rPr>
          <w:rFonts w:ascii="Arial" w:cs="Arial" w:eastAsia="Arial" w:hAnsi="Arial"/>
          <w:sz w:val="22"/>
          <w:szCs w:val="22"/>
        </w:rPr>
        <w:t xml:space="preserve">The time elapsed since the offense or completion of the sentence</w:t>
      </w:r>
    </w:p>
    <w:p>
      <w:pPr>
        <w:pStyle w:val="ListParagraph"/>
        <w:numPr>
          <w:ilvl w:val="0"/>
          <w:numId w:val="2"/>
        </w:numPr>
        <w:spacing w:before="60" w:after="60"/>
      </w:pPr>
      <w:r>
        <w:rPr>
          <w:rFonts w:ascii="Arial" w:cs="Arial" w:eastAsia="Arial" w:hAnsi="Arial"/>
          <w:sz w:val="22"/>
          <w:szCs w:val="22"/>
        </w:rPr>
        <w:t xml:space="preserve">The nature of the housing and whether it has a direct relationship to the criminal offense</w:t>
      </w:r>
    </w:p>
    <w:p>
      <w:pPr>
        <w:pStyle w:val="ListParagraph"/>
        <w:numPr>
          <w:ilvl w:val="0"/>
          <w:numId w:val="2"/>
        </w:numPr>
        <w:spacing w:before="60" w:after="60"/>
      </w:pPr>
      <w:r>
        <w:rPr>
          <w:rFonts w:ascii="Arial" w:cs="Arial" w:eastAsia="Arial" w:hAnsi="Arial"/>
          <w:sz w:val="22"/>
          <w:szCs w:val="22"/>
        </w:rPr>
        <w:t xml:space="preserve">Evidence of rehabilitation and good conduct</w:t>
      </w:r>
    </w:p>
    <w:p>
      <w:pPr>
        <w:pStyle w:val="ListParagraph"/>
        <w:numPr>
          <w:ilvl w:val="0"/>
          <w:numId w:val="2"/>
        </w:numPr>
        <w:spacing w:before="60" w:after="60"/>
      </w:pPr>
      <w:r>
        <w:rPr>
          <w:rFonts w:ascii="Arial" w:cs="Arial" w:eastAsia="Arial" w:hAnsi="Arial"/>
          <w:sz w:val="22"/>
          <w:szCs w:val="22"/>
        </w:rPr>
        <w:t xml:space="preserve">Any other relevant mitigating circumstances</w:t>
      </w:r>
    </w:p>
    <w:p>
      <w:pPr>
        <w:spacing w:before="0" w:after="0" w:line="160" w:lineRule="exact"/>
      </w:pPr>
      <w:r>
        <w:t xml:space="preserve"/>
      </w:r>
    </w:p>
    <w:p>
      <w:pPr>
        <w:spacing w:before="200" w:after="80"/>
      </w:pPr>
      <w:r>
        <w:rPr>
          <w:rFonts w:ascii="Arial" w:cs="Arial" w:eastAsia="Arial" w:hAnsi="Arial"/>
          <w:b/>
          <w:bCs/>
          <w:sz w:val="22"/>
          <w:szCs w:val="22"/>
        </w:rPr>
        <w:t xml:space="preserve">Your Rights</w:t>
      </w:r>
    </w:p>
    <w:p>
      <w:pPr>
        <w:pStyle w:val="ListParagraph"/>
        <w:numPr>
          <w:ilvl w:val="0"/>
          <w:numId w:val="2"/>
        </w:numPr>
        <w:spacing w:before="60" w:after="60"/>
      </w:pPr>
      <w:r>
        <w:rPr>
          <w:rFonts w:ascii="Arial" w:cs="Arial" w:eastAsia="Arial" w:hAnsi="Arial"/>
          <w:sz w:val="22"/>
          <w:szCs w:val="22"/>
        </w:rPr>
        <w:t xml:space="preserve">You must receive a copy of your background report before any adverse action is taken.</w:t>
      </w:r>
    </w:p>
    <w:p>
      <w:pPr>
        <w:pStyle w:val="ListParagraph"/>
        <w:numPr>
          <w:ilvl w:val="0"/>
          <w:numId w:val="2"/>
        </w:numPr>
        <w:spacing w:before="60" w:after="60"/>
      </w:pPr>
      <w:r>
        <w:rPr>
          <w:rFonts w:ascii="Arial" w:cs="Arial" w:eastAsia="Arial" w:hAnsi="Arial"/>
          <w:sz w:val="22"/>
          <w:szCs w:val="22"/>
        </w:rPr>
        <w:t xml:space="preserve">You will receive written notice identifying the disqualifying offense(s) and the basis for the housing provider's decision.</w:t>
      </w:r>
    </w:p>
    <w:p>
      <w:pPr>
        <w:pStyle w:val="ListParagraph"/>
        <w:numPr>
          <w:ilvl w:val="0"/>
          <w:numId w:val="2"/>
        </w:numPr>
        <w:spacing w:before="60" w:after="60"/>
      </w:pPr>
      <w:r>
        <w:rPr>
          <w:rFonts w:ascii="Arial" w:cs="Arial" w:eastAsia="Arial" w:hAnsi="Arial"/>
          <w:sz w:val="22"/>
          <w:szCs w:val="22"/>
        </w:rPr>
        <w:t xml:space="preserve">You have a minimum of five (5) business days to respond and submit supporting documentation.</w:t>
      </w:r>
    </w:p>
    <w:p>
      <w:pPr>
        <w:pStyle w:val="ListParagraph"/>
        <w:numPr>
          <w:ilvl w:val="0"/>
          <w:numId w:val="2"/>
        </w:numPr>
        <w:spacing w:before="60" w:after="60"/>
      </w:pPr>
      <w:r>
        <w:rPr>
          <w:rFonts w:ascii="Arial" w:cs="Arial" w:eastAsia="Arial" w:hAnsi="Arial"/>
          <w:sz w:val="22"/>
          <w:szCs w:val="22"/>
        </w:rPr>
        <w:t xml:space="preserve">The housing provider must consider your response before making a final decision.</w:t>
      </w:r>
    </w:p>
    <w:p>
      <w:pPr>
        <w:pStyle w:val="ListParagraph"/>
        <w:numPr>
          <w:ilvl w:val="0"/>
          <w:numId w:val="2"/>
        </w:numPr>
        <w:spacing w:before="60" w:after="60"/>
      </w:pPr>
      <w:r>
        <w:rPr>
          <w:rFonts w:ascii="Arial" w:cs="Arial" w:eastAsia="Arial" w:hAnsi="Arial"/>
          <w:sz w:val="22"/>
          <w:szCs w:val="22"/>
        </w:rPr>
        <w:t xml:space="preserve">You may file a complaint with the NYC Commission on Human Rights if you believe your rights have been violated.</w:t>
      </w:r>
    </w:p>
    <w:p>
      <w:pPr>
        <w:spacing w:before="0" w:after="0" w:line="160" w:lineRule="exact"/>
      </w:pPr>
      <w:r>
        <w:t xml:space="preserve"/>
      </w:r>
    </w:p>
    <w:p>
      <w:pPr>
        <w:spacing w:before="200" w:after="80"/>
      </w:pPr>
      <w:r>
        <w:rPr>
          <w:rFonts w:ascii="Arial" w:cs="Arial" w:eastAsia="Arial" w:hAnsi="Arial"/>
          <w:b/>
          <w:bCs/>
          <w:sz w:val="22"/>
          <w:szCs w:val="22"/>
        </w:rPr>
        <w:t xml:space="preserve">Housing Provider Information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Housing Provider / Property Manager Name</w:t>
            </w:r>
          </w:p>
        </w:tc>
      </w:tr>
    </w:tbl>
    <w:p>
      <w:pPr>
        <w:spacing w:before="0" w:after="0" w:line="100" w:lineRule="exact"/>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Company Name (if applicable)</w:t>
            </w:r>
          </w:p>
        </w:tc>
      </w:tr>
    </w:tbl>
    <w:p>
      <w:pPr>
        <w:spacing w:before="0" w:after="0" w:line="100" w:lineRule="exact"/>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Rental Property Address (must be within New York City)</w:t>
            </w:r>
          </w:p>
        </w:tc>
      </w:tr>
    </w:tbl>
    <w:p>
      <w:pPr>
        <w:spacing w:before="0" w:after="0" w:line="100" w:lineRule="exact"/>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760"/>
        <w:gridCol w:w="240"/>
        <w:gridCol w:w="3360"/>
      </w:tblGrid>
      <w:tr>
        <w:tc>
          <w:tcPr>
            <w:tcW w:type="dxa" w:w="57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City, State, ZIP</w:t>
            </w:r>
          </w:p>
        </w:tc>
        <w:tc>
          <w:tcPr>
            <w:tcW w:type="dxa" w:w="240"/>
            <w:tcBorders>
              <w:top w:val="none"/>
              <w:left w:val="none"/>
              <w:bottom w:val="none"/>
              <w:right w:val="none"/>
            </w:tcBorders>
          </w:tcPr>
          <w:p/>
        </w:tc>
        <w:tc>
          <w:tcPr>
            <w:tcW w:type="dxa" w:w="33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Phone / Email</w:t>
            </w:r>
          </w:p>
        </w:tc>
      </w:tr>
    </w:tbl>
    <w:p>
      <w:pPr>
        <w:spacing w:before="0" w:after="0" w:line="160" w:lineRule="exact"/>
      </w:pPr>
      <w:r>
        <w:t xml:space="preserve"/>
      </w:r>
    </w:p>
    <w:p>
      <w:pPr>
        <w:spacing w:before="200" w:after="80"/>
      </w:pPr>
      <w:r>
        <w:rPr>
          <w:rFonts w:ascii="Arial" w:cs="Arial" w:eastAsia="Arial" w:hAnsi="Arial"/>
          <w:b/>
          <w:bCs/>
          <w:sz w:val="22"/>
          <w:szCs w:val="22"/>
        </w:rPr>
        <w:t xml:space="preserve">Applicant Acknowledgment</w:t>
      </w:r>
    </w:p>
    <w:p>
      <w:pPr>
        <w:spacing w:before="60" w:after="60" w:line="300" w:lineRule="auto"/>
        <w:jc w:val="both"/>
      </w:pPr>
      <w:r>
        <w:rPr>
          <w:rFonts w:ascii="Arial" w:cs="Arial" w:eastAsia="Arial" w:hAnsi="Arial"/>
          <w:sz w:val="22"/>
          <w:szCs w:val="22"/>
        </w:rPr>
        <w:t xml:space="preserve">I acknowledge receipt of this Housing Fair Chance Notice and understand my rights under the New York City Human Rights Law with respect to the use of criminal history in rental housing decisions.</w:t>
      </w:r>
    </w:p>
    <w:p>
      <w:pPr>
        <w:spacing w:before="0" w:after="0" w:line="200" w:lineRule="exact"/>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760"/>
        <w:gridCol w:w="240"/>
        <w:gridCol w:w="3360"/>
      </w:tblGrid>
      <w:tr>
        <w:tc>
          <w:tcPr>
            <w:tcW w:type="dxa" w:w="57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Applicant Signature</w:t>
            </w:r>
          </w:p>
        </w:tc>
        <w:tc>
          <w:tcPr>
            <w:tcW w:type="dxa" w:w="240"/>
            <w:tcBorders>
              <w:top w:val="none"/>
              <w:left w:val="none"/>
              <w:bottom w:val="none"/>
              <w:right w:val="none"/>
            </w:tcBorders>
          </w:tcPr>
          <w:p/>
        </w:tc>
        <w:tc>
          <w:tcPr>
            <w:tcW w:type="dxa" w:w="33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Date</w:t>
            </w:r>
          </w:p>
        </w:tc>
      </w:tr>
    </w:tbl>
    <w:p>
      <w:pPr>
        <w:spacing w:before="0" w:after="0" w:line="160" w:lineRule="exact"/>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single" w:color="333333" w:sz="6"/>
              <w:right w:val="none"/>
            </w:tcBorders>
            <w:tcMar>
              <w:top w:type="dxa" w:w="0"/>
              <w:left w:type="dxa" w:w="0"/>
              <w:bottom w:type="dxa" w:w="40"/>
              <w:right w:type="dxa" w:w="0"/>
            </w:tcMar>
          </w:tcPr>
          <w:p>
            <w:pPr>
              <w:spacing w:before="140" w:after="0"/>
            </w:pPr>
            <w:r>
              <w:rPr>
                <w:rFonts w:ascii="Arial" w:cs="Arial" w:eastAsia="Arial" w:hAnsi="Arial"/>
                <w:i/>
                <w:iCs/>
                <w:color w:val="777777"/>
                <w:sz w:val="19"/>
                <w:szCs w:val="19"/>
              </w:rPr>
              <w:t xml:space="preserve">Applicant Printed Name</w:t>
            </w:r>
          </w:p>
        </w:tc>
      </w:tr>
    </w:tbl>
    <w:p>
      <w:pPr>
        <w:pBdr>
          <w:top w:val="single" w:color="CCCCCC" w:sz="2"/>
        </w:pBdr>
        <w:spacing w:before="400" w:after="0"/>
        <w:jc w:val="center"/>
      </w:pPr>
      <w:r>
        <w:rPr>
          <w:rFonts w:ascii="Arial" w:cs="Arial" w:eastAsia="Arial" w:hAnsi="Arial"/>
          <w:color w:val="999999"/>
          <w:sz w:val="16"/>
          <w:szCs w:val="16"/>
        </w:rPr>
        <w:t xml:space="preserve">New York City Tenant Screening  |  N.Y.C. Admin. Code § 8-107(5)(a)(1)  |  For use with Direct Screening background check reports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2026-03-13T16:37:24.381Z</dcterms:created>
  <dcterms:modified xsi:type="dcterms:W3CDTF">2026-03-13T16:37:24.381Z</dcterms:modified>
</cp:coreProperties>
</file>

<file path=docProps/custom.xml><?xml version="1.0" encoding="utf-8"?>
<Properties xmlns="http://schemas.openxmlformats.org/officeDocument/2006/custom-properties" xmlns:vt="http://schemas.openxmlformats.org/officeDocument/2006/docPropsVTypes"/>
</file>